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b/>
          <w:bCs/>
          <w:color w:val="000000"/>
          <w:sz w:val="36"/>
          <w:szCs w:val="36"/>
          <w:lang w:val="en-US" w:eastAsia="zh-CN"/>
        </w:rPr>
      </w:pPr>
      <w:r>
        <w:rPr>
          <w:rFonts w:hint="eastAsia" w:ascii="宋体" w:hAnsi="宋体"/>
          <w:color w:val="000000"/>
          <w:szCs w:val="21"/>
          <w:lang w:val="en-US" w:eastAsia="zh-CN"/>
        </w:rPr>
        <w:t xml:space="preserve">  </w:t>
      </w:r>
      <w:r>
        <w:rPr>
          <w:rFonts w:hint="eastAsia" w:ascii="宋体" w:hAnsi="宋体"/>
          <w:b/>
          <w:bCs/>
          <w:color w:val="000000"/>
          <w:sz w:val="36"/>
          <w:szCs w:val="36"/>
          <w:lang w:val="en-US" w:eastAsia="zh-CN"/>
        </w:rPr>
        <w:t xml:space="preserve">    </w:t>
      </w:r>
      <w:bookmarkStart w:id="0" w:name="_GoBack"/>
      <w:r>
        <w:rPr>
          <w:rFonts w:hint="eastAsia" w:ascii="宋体" w:hAnsi="宋体"/>
          <w:b/>
          <w:bCs/>
          <w:color w:val="000000"/>
          <w:sz w:val="36"/>
          <w:szCs w:val="36"/>
          <w:lang w:val="en-US" w:eastAsia="zh-CN"/>
        </w:rPr>
        <w:t>2024年南充</w:t>
      </w:r>
      <w:r>
        <w:rPr>
          <w:rFonts w:hint="eastAsia" w:ascii="宋体" w:hAnsi="宋体"/>
          <w:b/>
          <w:bCs/>
          <w:color w:val="000000"/>
          <w:sz w:val="36"/>
          <w:szCs w:val="36"/>
          <w:lang w:val="en-US" w:eastAsia="zh-CN"/>
        </w:rPr>
        <w:t>主城区公交车身广告</w:t>
      </w:r>
      <w:bookmarkEnd w:id="0"/>
      <w:r>
        <w:rPr>
          <w:rFonts w:hint="eastAsia" w:ascii="宋体" w:hAnsi="宋体"/>
          <w:b/>
          <w:bCs/>
          <w:color w:val="000000"/>
          <w:sz w:val="36"/>
          <w:szCs w:val="36"/>
          <w:lang w:val="en-US" w:eastAsia="zh-CN"/>
        </w:rPr>
        <w:t>评分标准</w:t>
      </w:r>
    </w:p>
    <w:p>
      <w:pPr>
        <w:jc w:val="left"/>
        <w:rPr>
          <w:rFonts w:hint="default" w:ascii="宋体" w:hAnsi="宋体"/>
          <w:b/>
          <w:bCs/>
          <w:color w:val="000000"/>
          <w:sz w:val="36"/>
          <w:szCs w:val="36"/>
          <w:lang w:val="en-US" w:eastAsia="zh-CN"/>
        </w:rPr>
      </w:pPr>
    </w:p>
    <w:tbl>
      <w:tblPr>
        <w:tblStyle w:val="5"/>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077"/>
        <w:gridCol w:w="2009"/>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056" w:type="dxa"/>
            <w:noWrap w:val="0"/>
            <w:vAlign w:val="center"/>
          </w:tcPr>
          <w:p>
            <w:pPr>
              <w:jc w:val="center"/>
              <w:rPr>
                <w:rFonts w:hint="eastAsia" w:ascii="宋体" w:hAnsi="宋体" w:eastAsiaTheme="minorEastAsia"/>
                <w:b/>
                <w:bCs/>
                <w:color w:val="000000"/>
                <w:szCs w:val="21"/>
                <w:lang w:eastAsia="zh-CN"/>
              </w:rPr>
            </w:pPr>
            <w:r>
              <w:rPr>
                <w:rFonts w:hint="eastAsia" w:ascii="宋体" w:hAnsi="宋体"/>
                <w:b/>
                <w:bCs/>
                <w:color w:val="000000"/>
                <w:szCs w:val="21"/>
                <w:lang w:eastAsia="zh-CN"/>
              </w:rPr>
              <w:t>序号</w:t>
            </w:r>
          </w:p>
        </w:tc>
        <w:tc>
          <w:tcPr>
            <w:tcW w:w="1077" w:type="dxa"/>
            <w:noWrap w:val="0"/>
            <w:vAlign w:val="center"/>
          </w:tcPr>
          <w:p>
            <w:pPr>
              <w:spacing w:line="360" w:lineRule="auto"/>
              <w:jc w:val="center"/>
              <w:rPr>
                <w:rFonts w:hint="eastAsia" w:ascii="宋体" w:hAnsi="宋体" w:eastAsiaTheme="minorEastAsia"/>
                <w:b/>
                <w:bCs/>
                <w:color w:val="000000"/>
                <w:szCs w:val="21"/>
                <w:lang w:eastAsia="zh-CN"/>
              </w:rPr>
            </w:pPr>
            <w:r>
              <w:rPr>
                <w:rFonts w:hint="eastAsia" w:ascii="宋体" w:hAnsi="宋体"/>
                <w:b/>
                <w:bCs/>
                <w:color w:val="000000"/>
                <w:szCs w:val="21"/>
                <w:lang w:eastAsia="zh-CN"/>
              </w:rPr>
              <w:t>评分因素</w:t>
            </w:r>
          </w:p>
        </w:tc>
        <w:tc>
          <w:tcPr>
            <w:tcW w:w="2009" w:type="dxa"/>
            <w:tcBorders>
              <w:bottom w:val="nil"/>
            </w:tcBorders>
            <w:noWrap w:val="0"/>
            <w:vAlign w:val="center"/>
          </w:tcPr>
          <w:p>
            <w:pPr>
              <w:spacing w:line="360" w:lineRule="auto"/>
              <w:jc w:val="center"/>
              <w:rPr>
                <w:rFonts w:hint="eastAsia" w:ascii="宋体" w:hAnsi="宋体" w:eastAsiaTheme="minorEastAsia"/>
                <w:b/>
                <w:bCs/>
                <w:color w:val="000000"/>
                <w:szCs w:val="21"/>
                <w:lang w:eastAsia="zh-CN"/>
              </w:rPr>
            </w:pPr>
            <w:r>
              <w:rPr>
                <w:rFonts w:hint="eastAsia" w:ascii="宋体" w:hAnsi="宋体"/>
                <w:b/>
                <w:bCs/>
                <w:color w:val="000000"/>
                <w:szCs w:val="21"/>
                <w:lang w:eastAsia="zh-CN"/>
              </w:rPr>
              <w:t>分值</w:t>
            </w:r>
          </w:p>
        </w:tc>
        <w:tc>
          <w:tcPr>
            <w:tcW w:w="6135" w:type="dxa"/>
            <w:tcBorders>
              <w:bottom w:val="nil"/>
            </w:tcBorders>
            <w:noWrap w:val="0"/>
            <w:vAlign w:val="center"/>
          </w:tcPr>
          <w:p>
            <w:pPr>
              <w:spacing w:line="360" w:lineRule="auto"/>
              <w:jc w:val="center"/>
              <w:rPr>
                <w:rFonts w:hint="eastAsia" w:ascii="宋体" w:hAnsi="宋体" w:eastAsiaTheme="minorEastAsia"/>
                <w:b/>
                <w:bCs/>
                <w:color w:val="000000"/>
                <w:szCs w:val="21"/>
                <w:lang w:eastAsia="zh-CN"/>
              </w:rPr>
            </w:pPr>
            <w:r>
              <w:rPr>
                <w:rFonts w:hint="eastAsia" w:ascii="宋体" w:hAnsi="宋体"/>
                <w:b/>
                <w:bCs/>
                <w:color w:val="000000"/>
                <w:szCs w:val="21"/>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056" w:type="dxa"/>
            <w:noWrap w:val="0"/>
            <w:vAlign w:val="center"/>
          </w:tcPr>
          <w:p>
            <w:pPr>
              <w:jc w:val="left"/>
              <w:rPr>
                <w:rFonts w:hint="eastAsia" w:ascii="宋体" w:hAnsi="宋体" w:eastAsiaTheme="minorEastAsia"/>
                <w:color w:val="000000"/>
                <w:szCs w:val="21"/>
                <w:lang w:val="en-US" w:eastAsia="zh-CN"/>
              </w:rPr>
            </w:pPr>
            <w:r>
              <w:rPr>
                <w:rFonts w:hint="eastAsia" w:ascii="宋体" w:hAnsi="宋体"/>
                <w:color w:val="000000"/>
                <w:szCs w:val="21"/>
                <w:lang w:val="en-US" w:eastAsia="zh-CN"/>
              </w:rPr>
              <w:t>1</w:t>
            </w:r>
          </w:p>
          <w:p>
            <w:pPr>
              <w:jc w:val="left"/>
              <w:rPr>
                <w:rFonts w:ascii="宋体" w:hAnsi="宋体"/>
                <w:color w:val="000000"/>
                <w:szCs w:val="21"/>
              </w:rPr>
            </w:pPr>
          </w:p>
        </w:tc>
        <w:tc>
          <w:tcPr>
            <w:tcW w:w="1077" w:type="dxa"/>
            <w:noWrap w:val="0"/>
            <w:vAlign w:val="center"/>
          </w:tcPr>
          <w:p>
            <w:pPr>
              <w:spacing w:line="360" w:lineRule="auto"/>
              <w:jc w:val="center"/>
              <w:rPr>
                <w:rFonts w:ascii="宋体" w:hAnsi="宋体"/>
                <w:color w:val="000000"/>
                <w:szCs w:val="21"/>
              </w:rPr>
            </w:pPr>
            <w:r>
              <w:rPr>
                <w:rFonts w:hint="eastAsia" w:ascii="宋体" w:hAnsi="宋体"/>
                <w:color w:val="000000"/>
                <w:szCs w:val="21"/>
              </w:rPr>
              <w:t>服务方案评分标准</w:t>
            </w:r>
          </w:p>
        </w:tc>
        <w:tc>
          <w:tcPr>
            <w:tcW w:w="8144" w:type="dxa"/>
            <w:gridSpan w:val="2"/>
            <w:tcBorders>
              <w:bottom w:val="nil"/>
            </w:tcBorders>
            <w:noWrap w:val="0"/>
            <w:vAlign w:val="center"/>
          </w:tcPr>
          <w:tbl>
            <w:tblPr>
              <w:tblStyle w:val="5"/>
              <w:tblW w:w="4958" w:type="pct"/>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01"/>
              <w:gridCol w:w="596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1209" w:type="pct"/>
                  <w:tcBorders>
                    <w:bottom w:val="single" w:color="auto" w:sz="4" w:space="0"/>
                  </w:tcBorders>
                  <w:noWrap w:val="0"/>
                  <w:vAlign w:val="center"/>
                </w:tcPr>
                <w:p>
                  <w:pPr>
                    <w:adjustRightInd w:val="0"/>
                    <w:snapToGrid w:val="0"/>
                    <w:spacing w:line="276" w:lineRule="auto"/>
                    <w:jc w:val="left"/>
                    <w:rPr>
                      <w:rFonts w:ascii="宋体" w:hAnsi="宋体"/>
                      <w:color w:val="000000"/>
                      <w:kern w:val="0"/>
                      <w:sz w:val="20"/>
                      <w:szCs w:val="21"/>
                    </w:rPr>
                  </w:pPr>
                  <w:r>
                    <w:rPr>
                      <w:rFonts w:hint="eastAsia" w:ascii="宋体" w:hAnsi="宋体"/>
                      <w:color w:val="000000"/>
                      <w:kern w:val="0"/>
                      <w:sz w:val="20"/>
                      <w:szCs w:val="21"/>
                    </w:rPr>
                    <w:t>服务方案（25分）</w:t>
                  </w:r>
                </w:p>
              </w:tc>
              <w:tc>
                <w:tcPr>
                  <w:tcW w:w="3790" w:type="pct"/>
                  <w:tcBorders>
                    <w:bottom w:val="single" w:color="auto" w:sz="4" w:space="0"/>
                  </w:tcBorders>
                  <w:noWrap w:val="0"/>
                  <w:vAlign w:val="center"/>
                </w:tcPr>
                <w:p>
                  <w:pPr>
                    <w:adjustRightInd w:val="0"/>
                    <w:snapToGrid w:val="0"/>
                    <w:spacing w:line="336" w:lineRule="auto"/>
                    <w:ind w:right="-109" w:rightChars="-52"/>
                    <w:jc w:val="left"/>
                    <w:rPr>
                      <w:rFonts w:hint="eastAsia" w:ascii="宋体" w:hAnsi="宋体"/>
                      <w:color w:val="000000"/>
                      <w:kern w:val="0"/>
                      <w:szCs w:val="21"/>
                    </w:rPr>
                  </w:pPr>
                  <w:r>
                    <w:rPr>
                      <w:rFonts w:hint="eastAsia" w:ascii="宋体" w:hAnsi="宋体"/>
                      <w:color w:val="000000"/>
                      <w:kern w:val="0"/>
                      <w:szCs w:val="21"/>
                    </w:rPr>
                    <w:t>1、根据投放实施方案（包括但不限于：媒体形式、投放线路、发布周期、人员配置等）等进行横向比较：优得15-13.5分，良得12.75-11.25分，一般得10.5-9分，差得6.75-4.5分，无得0分。</w:t>
                  </w:r>
                </w:p>
                <w:p>
                  <w:pPr>
                    <w:adjustRightInd w:val="0"/>
                    <w:snapToGrid w:val="0"/>
                    <w:spacing w:line="336" w:lineRule="auto"/>
                    <w:ind w:right="-109" w:rightChars="-52"/>
                    <w:jc w:val="left"/>
                    <w:rPr>
                      <w:rFonts w:ascii="宋体" w:hAnsi="宋体"/>
                      <w:color w:val="000000"/>
                      <w:kern w:val="0"/>
                      <w:szCs w:val="21"/>
                    </w:rPr>
                  </w:pPr>
                  <w:r>
                    <w:rPr>
                      <w:rFonts w:hint="eastAsia" w:ascii="宋体" w:hAnsi="宋体"/>
                      <w:color w:val="000000"/>
                      <w:kern w:val="0"/>
                      <w:szCs w:val="21"/>
                    </w:rPr>
                    <w:t>2、根据提供可覆盖的广告资源明细，覆盖网点数量及匹配度等进行横向比较：优得10-9分，良得8.5 -7.5分，一般得7-6.5分，差得4.5-3分，无得0分。</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09" w:type="pct"/>
                  <w:tcBorders>
                    <w:top w:val="single" w:color="auto" w:sz="4" w:space="0"/>
                    <w:bottom w:val="single" w:color="auto" w:sz="4" w:space="0"/>
                    <w:right w:val="single" w:color="auto" w:sz="4" w:space="0"/>
                  </w:tcBorders>
                  <w:noWrap w:val="0"/>
                  <w:vAlign w:val="center"/>
                </w:tcPr>
                <w:p>
                  <w:pPr>
                    <w:spacing w:after="120" w:line="276" w:lineRule="auto"/>
                    <w:jc w:val="left"/>
                    <w:rPr>
                      <w:rFonts w:ascii="宋体" w:hAnsi="宋体"/>
                      <w:color w:val="000000"/>
                      <w:kern w:val="0"/>
                      <w:sz w:val="20"/>
                      <w:szCs w:val="21"/>
                    </w:rPr>
                  </w:pPr>
                  <w:r>
                    <w:rPr>
                      <w:rFonts w:hint="eastAsia" w:ascii="宋体" w:hAnsi="宋体"/>
                      <w:color w:val="000000"/>
                      <w:kern w:val="0"/>
                      <w:sz w:val="20"/>
                      <w:szCs w:val="21"/>
                    </w:rPr>
                    <w:t>应急响应及售后服务（5分）</w:t>
                  </w:r>
                </w:p>
              </w:tc>
              <w:tc>
                <w:tcPr>
                  <w:tcW w:w="3790" w:type="pct"/>
                  <w:tcBorders>
                    <w:top w:val="single" w:color="auto" w:sz="4" w:space="0"/>
                    <w:left w:val="single" w:color="auto" w:sz="4" w:space="0"/>
                    <w:bottom w:val="single" w:color="auto" w:sz="4" w:space="0"/>
                  </w:tcBorders>
                  <w:noWrap w:val="0"/>
                  <w:vAlign w:val="top"/>
                </w:tcPr>
                <w:p>
                  <w:pPr>
                    <w:adjustRightInd w:val="0"/>
                    <w:snapToGrid w:val="0"/>
                    <w:spacing w:line="336" w:lineRule="auto"/>
                    <w:ind w:right="-109" w:rightChars="-52"/>
                    <w:jc w:val="left"/>
                    <w:rPr>
                      <w:rFonts w:hint="eastAsia" w:ascii="宋体" w:hAnsi="宋体"/>
                      <w:color w:val="000000"/>
                      <w:kern w:val="0"/>
                      <w:szCs w:val="21"/>
                    </w:rPr>
                  </w:pPr>
                  <w:r>
                    <w:rPr>
                      <w:rFonts w:hint="eastAsia" w:ascii="宋体" w:hAnsi="宋体"/>
                      <w:color w:val="000000"/>
                      <w:kern w:val="0"/>
                      <w:szCs w:val="21"/>
                    </w:rPr>
                    <w:t>1、投标人须做到广告画面维护及更换，及时配合完成任务，一年巡检不低于</w:t>
                  </w:r>
                  <w:r>
                    <w:rPr>
                      <w:rFonts w:ascii="宋体" w:hAnsi="宋体"/>
                      <w:color w:val="000000"/>
                      <w:kern w:val="0"/>
                      <w:szCs w:val="21"/>
                    </w:rPr>
                    <w:t>4次</w:t>
                  </w:r>
                  <w:r>
                    <w:rPr>
                      <w:rFonts w:hint="eastAsia" w:ascii="宋体" w:hAnsi="宋体"/>
                      <w:color w:val="000000"/>
                      <w:kern w:val="0"/>
                      <w:szCs w:val="21"/>
                    </w:rPr>
                    <w:t>，完全响应的得2分，否则得0分。</w:t>
                  </w:r>
                </w:p>
                <w:p>
                  <w:pPr>
                    <w:adjustRightInd w:val="0"/>
                    <w:snapToGrid w:val="0"/>
                    <w:spacing w:line="336" w:lineRule="auto"/>
                    <w:ind w:right="-109" w:rightChars="-52"/>
                    <w:jc w:val="left"/>
                    <w:rPr>
                      <w:rFonts w:ascii="宋体" w:hAnsi="宋体"/>
                      <w:color w:val="000000"/>
                      <w:kern w:val="0"/>
                      <w:szCs w:val="21"/>
                    </w:rPr>
                  </w:pPr>
                  <w:r>
                    <w:rPr>
                      <w:rFonts w:hint="eastAsia" w:ascii="宋体" w:hAnsi="宋体"/>
                      <w:color w:val="000000"/>
                      <w:kern w:val="0"/>
                      <w:szCs w:val="21"/>
                    </w:rPr>
                    <w:t xml:space="preserve">2、投标人维护及更换时间在3天以内的得3分，维护及更换时间在5天以内的得2分，维护及更换时间在7天以内的得1分，维护及更换时间在7天及以上的得0分。  </w:t>
                  </w:r>
                </w:p>
              </w:tc>
            </w:tr>
          </w:tbl>
          <w:p>
            <w:pPr>
              <w:spacing w:line="360" w:lineRule="auto"/>
              <w:jc w:val="lef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1056" w:type="dxa"/>
            <w:noWrap w:val="0"/>
            <w:vAlign w:val="center"/>
          </w:tcPr>
          <w:p>
            <w:pPr>
              <w:spacing w:line="360" w:lineRule="auto"/>
              <w:jc w:val="center"/>
              <w:rPr>
                <w:rFonts w:hint="eastAsia" w:ascii="宋体" w:hAnsi="宋体" w:eastAsiaTheme="minorEastAsia"/>
                <w:color w:val="000000"/>
                <w:szCs w:val="21"/>
                <w:lang w:eastAsia="zh-CN"/>
              </w:rPr>
            </w:pPr>
            <w:r>
              <w:rPr>
                <w:rFonts w:hint="eastAsia" w:ascii="宋体" w:hAnsi="宋体"/>
                <w:color w:val="000000"/>
                <w:szCs w:val="21"/>
                <w:lang w:val="en-US" w:eastAsia="zh-CN"/>
              </w:rPr>
              <w:t>2</w:t>
            </w:r>
          </w:p>
        </w:tc>
        <w:tc>
          <w:tcPr>
            <w:tcW w:w="1077" w:type="dxa"/>
            <w:noWrap w:val="0"/>
            <w:vAlign w:val="center"/>
          </w:tcPr>
          <w:p>
            <w:pPr>
              <w:spacing w:line="360" w:lineRule="auto"/>
              <w:jc w:val="center"/>
              <w:rPr>
                <w:rFonts w:ascii="宋体" w:hAnsi="宋体"/>
                <w:color w:val="000000"/>
                <w:szCs w:val="21"/>
              </w:rPr>
            </w:pPr>
            <w:r>
              <w:rPr>
                <w:rFonts w:hint="eastAsia" w:ascii="宋体" w:hAnsi="宋体"/>
                <w:color w:val="000000"/>
                <w:szCs w:val="21"/>
              </w:rPr>
              <w:t>投标报价</w:t>
            </w:r>
          </w:p>
        </w:tc>
        <w:tc>
          <w:tcPr>
            <w:tcW w:w="2009" w:type="dxa"/>
            <w:noWrap w:val="0"/>
            <w:vAlign w:val="center"/>
          </w:tcPr>
          <w:p>
            <w:pPr>
              <w:widowControl/>
              <w:spacing w:line="360" w:lineRule="auto"/>
              <w:jc w:val="left"/>
              <w:rPr>
                <w:rFonts w:hint="default" w:ascii="宋体" w:hAnsi="宋体" w:eastAsiaTheme="minorEastAsia"/>
                <w:lang w:val="en-US" w:eastAsia="zh-CN"/>
              </w:rPr>
            </w:pPr>
            <w:r>
              <w:rPr>
                <w:rFonts w:hint="eastAsia" w:ascii="宋体" w:hAnsi="宋体"/>
                <w:szCs w:val="21"/>
                <w:lang w:val="en-US" w:eastAsia="zh-CN"/>
              </w:rPr>
              <w:t>60分</w:t>
            </w:r>
          </w:p>
        </w:tc>
        <w:tc>
          <w:tcPr>
            <w:tcW w:w="6135" w:type="dxa"/>
            <w:noWrap w:val="0"/>
            <w:vAlign w:val="center"/>
          </w:tcPr>
          <w:p>
            <w:pPr>
              <w:adjustRightInd w:val="0"/>
              <w:snapToGrid w:val="0"/>
              <w:spacing w:line="336" w:lineRule="auto"/>
              <w:rPr>
                <w:rFonts w:hint="eastAsia" w:ascii="宋体" w:hAnsi="宋体"/>
                <w:szCs w:val="21"/>
              </w:rPr>
            </w:pPr>
            <w:r>
              <w:rPr>
                <w:rFonts w:hint="eastAsia" w:ascii="宋体" w:hAnsi="宋体" w:cs="宋体"/>
                <w:kern w:val="1"/>
                <w:szCs w:val="21"/>
                <w:lang w:val="en-US" w:eastAsia="zh-CN"/>
              </w:rPr>
              <w:t>满足本项目服务要求文件的各投标人最终投标价的算术平均值为基准价，基准分50分；投标报价与基准价相比，每高1%扣1分，最多扣10分；每低1%加1分，最高加10分，不足1%的按四舍五入计算。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3" w:hRule="atLeast"/>
          <w:jc w:val="center"/>
        </w:trPr>
        <w:tc>
          <w:tcPr>
            <w:tcW w:w="1056" w:type="dxa"/>
            <w:tcBorders>
              <w:bottom w:val="single" w:color="auto" w:sz="4" w:space="0"/>
            </w:tcBorders>
            <w:noWrap w:val="0"/>
            <w:vAlign w:val="center"/>
          </w:tcPr>
          <w:p>
            <w:pPr>
              <w:jc w:val="center"/>
              <w:rPr>
                <w:rFonts w:hint="eastAsia" w:ascii="宋体" w:hAnsi="宋体" w:eastAsiaTheme="minorEastAsia"/>
                <w:color w:val="000000"/>
                <w:szCs w:val="21"/>
                <w:lang w:eastAsia="zh-CN"/>
              </w:rPr>
            </w:pPr>
            <w:r>
              <w:rPr>
                <w:rFonts w:hint="eastAsia" w:ascii="宋体" w:hAnsi="宋体"/>
                <w:color w:val="000000"/>
                <w:szCs w:val="21"/>
                <w:lang w:val="en-US" w:eastAsia="zh-CN"/>
              </w:rPr>
              <w:t>3</w:t>
            </w:r>
          </w:p>
        </w:tc>
        <w:tc>
          <w:tcPr>
            <w:tcW w:w="1077" w:type="dxa"/>
            <w:tcBorders>
              <w:bottom w:val="single" w:color="auto" w:sz="4" w:space="0"/>
            </w:tcBorders>
            <w:noWrap w:val="0"/>
            <w:vAlign w:val="center"/>
          </w:tcPr>
          <w:p>
            <w:pPr>
              <w:jc w:val="center"/>
              <w:rPr>
                <w:rFonts w:ascii="宋体" w:hAnsi="宋体"/>
                <w:color w:val="000000"/>
                <w:szCs w:val="21"/>
              </w:rPr>
            </w:pPr>
            <w:r>
              <w:rPr>
                <w:rFonts w:hint="eastAsia" w:ascii="宋体" w:hAnsi="宋体"/>
                <w:color w:val="000000"/>
                <w:szCs w:val="21"/>
              </w:rPr>
              <w:t>其他因素评分标准</w:t>
            </w:r>
          </w:p>
        </w:tc>
        <w:tc>
          <w:tcPr>
            <w:tcW w:w="8144" w:type="dxa"/>
            <w:gridSpan w:val="2"/>
            <w:tcBorders>
              <w:bottom w:val="single" w:color="auto" w:sz="4" w:space="0"/>
            </w:tcBorders>
            <w:noWrap w:val="0"/>
            <w:vAlign w:val="center"/>
          </w:tcPr>
          <w:tbl>
            <w:tblPr>
              <w:tblStyle w:val="5"/>
              <w:tblW w:w="5000" w:type="pct"/>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87"/>
              <w:gridCol w:w="6041"/>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1190" w:type="pct"/>
                  <w:tcBorders>
                    <w:bottom w:val="single" w:color="auto" w:sz="4" w:space="0"/>
                  </w:tcBorders>
                  <w:noWrap w:val="0"/>
                  <w:vAlign w:val="center"/>
                </w:tcPr>
                <w:p>
                  <w:pPr>
                    <w:spacing w:line="360" w:lineRule="auto"/>
                    <w:jc w:val="left"/>
                    <w:rPr>
                      <w:rFonts w:hint="eastAsia" w:ascii="宋体" w:hAnsi="宋体"/>
                      <w:color w:val="000000"/>
                      <w:kern w:val="0"/>
                      <w:sz w:val="20"/>
                      <w:szCs w:val="21"/>
                    </w:rPr>
                  </w:pPr>
                  <w:r>
                    <w:rPr>
                      <w:rFonts w:hint="eastAsia" w:ascii="宋体" w:hAnsi="宋体"/>
                      <w:color w:val="000000"/>
                      <w:kern w:val="0"/>
                      <w:sz w:val="20"/>
                      <w:szCs w:val="21"/>
                    </w:rPr>
                    <w:t>综合实力（5分）</w:t>
                  </w:r>
                </w:p>
              </w:tc>
              <w:tc>
                <w:tcPr>
                  <w:tcW w:w="3809" w:type="pct"/>
                  <w:tcBorders>
                    <w:bottom w:val="single" w:color="auto" w:sz="4" w:space="0"/>
                  </w:tcBorders>
                  <w:noWrap w:val="0"/>
                  <w:vAlign w:val="top"/>
                </w:tcPr>
                <w:p>
                  <w:pPr>
                    <w:adjustRightInd w:val="0"/>
                    <w:snapToGrid w:val="0"/>
                    <w:spacing w:line="336" w:lineRule="auto"/>
                    <w:jc w:val="left"/>
                    <w:rPr>
                      <w:rFonts w:hint="eastAsia" w:ascii="宋体" w:hAnsi="宋体"/>
                      <w:color w:val="000000"/>
                      <w:kern w:val="0"/>
                      <w:szCs w:val="21"/>
                    </w:rPr>
                  </w:pPr>
                  <w:r>
                    <w:rPr>
                      <w:rFonts w:hint="eastAsia" w:ascii="宋体" w:hAnsi="宋体"/>
                      <w:color w:val="000000"/>
                      <w:kern w:val="0"/>
                      <w:szCs w:val="21"/>
                    </w:rPr>
                    <w:t>根据企业规模、业务范围、软硬件设施、发展情况、财务状况（总资产、负债率、利润等）、经营信誉（诉讼、荣誉奖项等）和是否具有行业领先优势等进行横向比较：优得5-4.5分，良得4.25 -3.75分，一般得3.5-3.25分，差得2.25-1.5分，无得0分。</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63" w:hRule="atLeast"/>
              </w:trPr>
              <w:tc>
                <w:tcPr>
                  <w:tcW w:w="1190" w:type="pct"/>
                  <w:tcBorders>
                    <w:bottom w:val="single" w:color="auto" w:sz="4" w:space="0"/>
                  </w:tcBorders>
                  <w:noWrap w:val="0"/>
                  <w:vAlign w:val="center"/>
                </w:tcPr>
                <w:p>
                  <w:pPr>
                    <w:spacing w:line="360" w:lineRule="auto"/>
                    <w:jc w:val="left"/>
                    <w:rPr>
                      <w:rFonts w:ascii="宋体" w:hAnsi="宋体"/>
                      <w:color w:val="000000"/>
                      <w:kern w:val="0"/>
                      <w:sz w:val="20"/>
                      <w:szCs w:val="21"/>
                    </w:rPr>
                  </w:pPr>
                  <w:r>
                    <w:rPr>
                      <w:rFonts w:hint="eastAsia" w:ascii="宋体" w:hAnsi="宋体"/>
                      <w:color w:val="000000"/>
                      <w:kern w:val="0"/>
                      <w:sz w:val="20"/>
                      <w:szCs w:val="21"/>
                    </w:rPr>
                    <w:t>类似业绩（5分）</w:t>
                  </w:r>
                </w:p>
              </w:tc>
              <w:tc>
                <w:tcPr>
                  <w:tcW w:w="3809" w:type="pct"/>
                  <w:tcBorders>
                    <w:bottom w:val="single" w:color="auto" w:sz="4" w:space="0"/>
                  </w:tcBorders>
                  <w:noWrap w:val="0"/>
                  <w:vAlign w:val="top"/>
                </w:tcPr>
                <w:p>
                  <w:pPr>
                    <w:adjustRightInd w:val="0"/>
                    <w:snapToGrid w:val="0"/>
                    <w:spacing w:line="336" w:lineRule="auto"/>
                    <w:jc w:val="left"/>
                    <w:rPr>
                      <w:rFonts w:hint="eastAsia" w:ascii="宋体" w:hAnsi="宋体"/>
                      <w:color w:val="000000"/>
                      <w:kern w:val="0"/>
                      <w:szCs w:val="21"/>
                    </w:rPr>
                  </w:pPr>
                  <w:r>
                    <w:rPr>
                      <w:rFonts w:hint="eastAsia" w:ascii="宋体" w:hAnsi="宋体"/>
                      <w:color w:val="000000"/>
                      <w:kern w:val="0"/>
                      <w:szCs w:val="21"/>
                    </w:rPr>
                    <w:t>202</w:t>
                  </w:r>
                  <w:r>
                    <w:rPr>
                      <w:rFonts w:hint="eastAsia" w:ascii="宋体" w:hAnsi="宋体"/>
                      <w:color w:val="000000"/>
                      <w:kern w:val="0"/>
                      <w:szCs w:val="21"/>
                      <w:lang w:val="en-US" w:eastAsia="zh-CN"/>
                    </w:rPr>
                    <w:t>1</w:t>
                  </w:r>
                  <w:r>
                    <w:rPr>
                      <w:rFonts w:hint="eastAsia" w:ascii="宋体" w:hAnsi="宋体"/>
                      <w:color w:val="000000"/>
                      <w:kern w:val="0"/>
                      <w:szCs w:val="21"/>
                    </w:rPr>
                    <w:t>年01月01日至投标截止之日具有1个单项合同金额不低于</w:t>
                  </w:r>
                  <w:r>
                    <w:rPr>
                      <w:rFonts w:hint="eastAsia" w:ascii="宋体" w:hAnsi="宋体"/>
                      <w:color w:val="000000"/>
                      <w:kern w:val="0"/>
                      <w:szCs w:val="21"/>
                      <w:lang w:val="en-US" w:eastAsia="zh-CN"/>
                    </w:rPr>
                    <w:t>40</w:t>
                  </w:r>
                  <w:r>
                    <w:rPr>
                      <w:rFonts w:hint="eastAsia" w:ascii="宋体" w:hAnsi="宋体"/>
                      <w:color w:val="000000"/>
                      <w:kern w:val="0"/>
                      <w:szCs w:val="21"/>
                    </w:rPr>
                    <w:t>万元的本行业及同行业和其他大型企业的车身广告投放类业绩的得1分，每增加一个此类业绩加1分，本项最多得5分。</w:t>
                  </w:r>
                </w:p>
                <w:p>
                  <w:pPr>
                    <w:adjustRightInd w:val="0"/>
                    <w:snapToGrid w:val="0"/>
                    <w:spacing w:line="336" w:lineRule="auto"/>
                    <w:jc w:val="left"/>
                    <w:rPr>
                      <w:rFonts w:ascii="宋体" w:hAnsi="宋体"/>
                      <w:color w:val="000000"/>
                      <w:kern w:val="0"/>
                      <w:szCs w:val="21"/>
                    </w:rPr>
                  </w:pPr>
                  <w:r>
                    <w:rPr>
                      <w:rFonts w:hint="eastAsia" w:ascii="宋体" w:hAnsi="宋体"/>
                      <w:color w:val="000000"/>
                      <w:kern w:val="0"/>
                      <w:szCs w:val="21"/>
                    </w:rPr>
                    <w:t>注：提供合同协议书及案例图片复印件并加盖单位公章。</w:t>
                  </w:r>
                </w:p>
              </w:tc>
            </w:tr>
          </w:tbl>
          <w:p>
            <w:pPr>
              <w:spacing w:line="360" w:lineRule="auto"/>
              <w:ind w:firstLine="420" w:firstLineChars="200"/>
              <w:jc w:val="left"/>
              <w:rPr>
                <w:rFonts w:ascii="宋体" w:hAnsi="宋体"/>
                <w:color w:val="000000"/>
                <w:szCs w:val="21"/>
              </w:rPr>
            </w:pPr>
          </w:p>
        </w:tc>
      </w:tr>
    </w:tbl>
    <w:p>
      <w:pPr>
        <w:pStyle w:val="4"/>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M2RlYTRmOTVkNTg2NDM0M2I5ZmMyZjUzMmJmMzYifQ=="/>
    <w:docVar w:name="KSO_WPS_MARK_KEY" w:val="501f3ed9-f615-4734-9628-de546cb8cf6a"/>
  </w:docVars>
  <w:rsids>
    <w:rsidRoot w:val="42DD78C9"/>
    <w:rsid w:val="01101675"/>
    <w:rsid w:val="056D0DFF"/>
    <w:rsid w:val="100A5B41"/>
    <w:rsid w:val="18FF089C"/>
    <w:rsid w:val="195C786A"/>
    <w:rsid w:val="195D67D0"/>
    <w:rsid w:val="1F114BF6"/>
    <w:rsid w:val="21543271"/>
    <w:rsid w:val="2CC6515A"/>
    <w:rsid w:val="3C2635F7"/>
    <w:rsid w:val="3FA1450D"/>
    <w:rsid w:val="401B7113"/>
    <w:rsid w:val="42DD78C9"/>
    <w:rsid w:val="44E9459A"/>
    <w:rsid w:val="458C785C"/>
    <w:rsid w:val="4B474DA2"/>
    <w:rsid w:val="5A2A46CB"/>
    <w:rsid w:val="63396D50"/>
    <w:rsid w:val="72C53632"/>
    <w:rsid w:val="789C36D4"/>
    <w:rsid w:val="79AA4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szCs w:val="20"/>
    </w:rPr>
  </w:style>
  <w:style w:type="paragraph" w:styleId="3">
    <w:name w:val="Subtitle"/>
    <w:basedOn w:val="1"/>
    <w:next w:val="1"/>
    <w:autoRedefine/>
    <w:qFormat/>
    <w:uiPriority w:val="0"/>
    <w:pPr>
      <w:spacing w:line="312" w:lineRule="auto"/>
      <w:jc w:val="left"/>
      <w:outlineLvl w:val="1"/>
    </w:pPr>
    <w:rPr>
      <w:rFonts w:ascii="Cambria" w:hAnsi="Cambria"/>
      <w:b/>
      <w:bCs/>
      <w:kern w:val="28"/>
      <w:sz w:val="21"/>
      <w:szCs w:val="32"/>
    </w:rPr>
  </w:style>
  <w:style w:type="paragraph" w:styleId="4">
    <w:name w:val="Plain Text"/>
    <w:basedOn w:val="1"/>
    <w:autoRedefine/>
    <w:qFormat/>
    <w:uiPriority w:val="0"/>
    <w:pPr>
      <w:autoSpaceDE w:val="0"/>
      <w:autoSpaceDN w:val="0"/>
      <w:adjustRightInd w:val="0"/>
    </w:pPr>
    <w:rPr>
      <w:rFonts w:hAnsi="Tms Rmn"/>
      <w:szCs w:val="21"/>
    </w:rPr>
  </w:style>
  <w:style w:type="paragraph" w:customStyle="1" w:styleId="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291</Words>
  <Characters>309</Characters>
  <Lines>0</Lines>
  <Paragraphs>0</Paragraphs>
  <TotalTime>0</TotalTime>
  <ScaleCrop>false</ScaleCrop>
  <LinksUpToDate>false</LinksUpToDate>
  <CharactersWithSpaces>316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2022-06-20T11:58:00Z</dcterms:created>
  <dc:creator>tangee3</dc:creator>
  <cp:lastModifiedBy>燕尾蝶</cp:lastModifiedBy>
  <dcterms:modified xsi:type="dcterms:W3CDTF">2024-04-25T07:48:22Z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2E145C2E9C9345B4A98ABD2AA4941C71</vt:lpwstr>
  </property>
</Properties>
</file>