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jc w:val="center"/>
        <w:rPr>
          <w:rFonts w:hint="eastAsia" w:ascii="仿宋_GB2312" w:hAnsi="仿宋_GB2312" w:eastAsia="仿宋_GB2312" w:cs="仿宋_GB2312"/>
          <w:b/>
          <w:bCs/>
          <w:kern w:val="2"/>
          <w:sz w:val="44"/>
          <w:szCs w:val="44"/>
          <w:lang w:val="en-US" w:eastAsia="zh-CN" w:bidi="ar-SA"/>
        </w:rPr>
      </w:pPr>
      <w:r>
        <w:rPr>
          <w:rFonts w:hint="eastAsia" w:ascii="仿宋_GB2312" w:hAnsi="仿宋_GB2312" w:eastAsia="仿宋_GB2312" w:cs="仿宋_GB2312"/>
          <w:b/>
          <w:bCs/>
          <w:kern w:val="2"/>
          <w:sz w:val="44"/>
          <w:szCs w:val="44"/>
          <w:lang w:val="en-US" w:eastAsia="zh-CN" w:bidi="ar-SA"/>
        </w:rPr>
        <w:t>2024年公众责任险和企业财产险</w:t>
      </w:r>
    </w:p>
    <w:p>
      <w:pPr>
        <w:ind w:firstLine="883"/>
        <w:jc w:val="center"/>
        <w:rPr>
          <w:rFonts w:hint="eastAsia" w:ascii="仿宋_GB2312" w:hAnsi="仿宋_GB2312" w:eastAsia="仿宋_GB2312" w:cs="仿宋_GB2312"/>
          <w:b/>
          <w:bCs/>
          <w:kern w:val="2"/>
          <w:sz w:val="44"/>
          <w:szCs w:val="44"/>
          <w:lang w:val="en-US" w:eastAsia="zh-CN" w:bidi="ar-SA"/>
        </w:rPr>
      </w:pPr>
      <w:r>
        <w:rPr>
          <w:rFonts w:hint="eastAsia" w:ascii="仿宋_GB2312" w:hAnsi="仿宋_GB2312" w:eastAsia="仿宋_GB2312" w:cs="仿宋_GB2312"/>
          <w:b/>
          <w:bCs/>
          <w:kern w:val="2"/>
          <w:sz w:val="44"/>
          <w:szCs w:val="44"/>
          <w:lang w:val="en-US" w:eastAsia="zh-CN" w:bidi="ar-SA"/>
        </w:rPr>
        <w:t>项目评分标准</w:t>
      </w:r>
    </w:p>
    <w:p>
      <w:pPr>
        <w:pStyle w:val="5"/>
      </w:pPr>
    </w:p>
    <w:tbl>
      <w:tblPr>
        <w:tblStyle w:val="6"/>
        <w:tblW w:w="9630" w:type="dxa"/>
        <w:tblInd w:w="-141"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fixed"/>
        <w:tblCellMar>
          <w:top w:w="0" w:type="dxa"/>
          <w:left w:w="10" w:type="dxa"/>
          <w:bottom w:w="0" w:type="dxa"/>
          <w:right w:w="10" w:type="dxa"/>
        </w:tblCellMar>
      </w:tblPr>
      <w:tblGrid>
        <w:gridCol w:w="900"/>
        <w:gridCol w:w="1545"/>
        <w:gridCol w:w="993"/>
        <w:gridCol w:w="6192"/>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607" w:hRule="atLeast"/>
        </w:trPr>
        <w:tc>
          <w:tcPr>
            <w:tcW w:w="900" w:type="dxa"/>
            <w:noWrap w:val="0"/>
            <w:tcMar>
              <w:left w:w="108" w:type="dxa"/>
              <w:right w:w="108" w:type="dxa"/>
            </w:tcMar>
            <w:vAlign w:val="center"/>
          </w:tcPr>
          <w:p>
            <w:pPr>
              <w:spacing w:line="360" w:lineRule="auto"/>
              <w:jc w:val="center"/>
              <w:rPr>
                <w:rFonts w:hint="eastAsia" w:ascii="宋体" w:hAnsi="宋体" w:cs="宋体"/>
                <w:b/>
                <w:bCs/>
                <w:kern w:val="1"/>
                <w:szCs w:val="21"/>
              </w:rPr>
            </w:pPr>
            <w:r>
              <w:rPr>
                <w:rFonts w:hint="eastAsia" w:ascii="宋体" w:hAnsi="宋体" w:cs="宋体"/>
                <w:b/>
                <w:bCs/>
                <w:kern w:val="1"/>
                <w:szCs w:val="21"/>
              </w:rPr>
              <w:t>序号</w:t>
            </w:r>
          </w:p>
        </w:tc>
        <w:tc>
          <w:tcPr>
            <w:tcW w:w="1545" w:type="dxa"/>
            <w:noWrap w:val="0"/>
            <w:vAlign w:val="center"/>
          </w:tcPr>
          <w:p>
            <w:pPr>
              <w:spacing w:line="360" w:lineRule="auto"/>
              <w:jc w:val="center"/>
              <w:rPr>
                <w:rFonts w:hint="eastAsia" w:ascii="宋体" w:hAnsi="宋体" w:cs="宋体"/>
                <w:b/>
                <w:bCs/>
                <w:kern w:val="1"/>
                <w:szCs w:val="21"/>
              </w:rPr>
            </w:pPr>
            <w:r>
              <w:rPr>
                <w:rFonts w:hint="eastAsia" w:ascii="宋体" w:hAnsi="宋体" w:cs="宋体"/>
                <w:b/>
                <w:bCs/>
                <w:kern w:val="1"/>
                <w:szCs w:val="21"/>
              </w:rPr>
              <w:t>评分因素</w:t>
            </w:r>
          </w:p>
        </w:tc>
        <w:tc>
          <w:tcPr>
            <w:tcW w:w="993" w:type="dxa"/>
            <w:noWrap w:val="0"/>
            <w:vAlign w:val="center"/>
          </w:tcPr>
          <w:p>
            <w:pPr>
              <w:spacing w:line="360" w:lineRule="auto"/>
              <w:jc w:val="center"/>
              <w:rPr>
                <w:rFonts w:hint="eastAsia" w:ascii="宋体" w:hAnsi="宋体" w:cs="宋体"/>
                <w:b/>
                <w:bCs/>
                <w:kern w:val="1"/>
                <w:szCs w:val="21"/>
              </w:rPr>
            </w:pPr>
            <w:r>
              <w:rPr>
                <w:rFonts w:hint="eastAsia" w:ascii="宋体" w:hAnsi="宋体" w:cs="宋体"/>
                <w:b/>
                <w:bCs/>
                <w:kern w:val="1"/>
                <w:szCs w:val="21"/>
              </w:rPr>
              <w:t>分值</w:t>
            </w:r>
          </w:p>
        </w:tc>
        <w:tc>
          <w:tcPr>
            <w:tcW w:w="6192" w:type="dxa"/>
            <w:noWrap w:val="0"/>
            <w:vAlign w:val="center"/>
          </w:tcPr>
          <w:p>
            <w:pPr>
              <w:spacing w:line="360" w:lineRule="auto"/>
              <w:ind w:firstLine="211" w:firstLineChars="100"/>
              <w:jc w:val="center"/>
              <w:rPr>
                <w:rFonts w:hint="eastAsia" w:ascii="宋体" w:hAnsi="宋体" w:cs="宋体"/>
                <w:b/>
                <w:bCs/>
                <w:kern w:val="1"/>
                <w:szCs w:val="21"/>
              </w:rPr>
            </w:pPr>
            <w:r>
              <w:rPr>
                <w:rFonts w:hint="eastAsia" w:ascii="宋体" w:hAnsi="宋体" w:cs="宋体"/>
                <w:b/>
                <w:bCs/>
                <w:kern w:val="1"/>
                <w:szCs w:val="21"/>
              </w:rPr>
              <w:t>评 分 标 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1645" w:hRule="atLeast"/>
        </w:trPr>
        <w:tc>
          <w:tcPr>
            <w:tcW w:w="900" w:type="dxa"/>
            <w:noWrap w:val="0"/>
            <w:tcMar>
              <w:left w:w="108" w:type="dxa"/>
              <w:right w:w="108" w:type="dxa"/>
            </w:tcMar>
            <w:vAlign w:val="center"/>
          </w:tcPr>
          <w:p>
            <w:pPr>
              <w:spacing w:line="360" w:lineRule="auto"/>
              <w:jc w:val="center"/>
              <w:rPr>
                <w:rFonts w:hint="eastAsia" w:ascii="宋体" w:hAnsi="宋体" w:cs="宋体"/>
                <w:kern w:val="1"/>
                <w:szCs w:val="21"/>
              </w:rPr>
            </w:pPr>
            <w:r>
              <w:rPr>
                <w:rFonts w:hint="eastAsia" w:ascii="宋体" w:hAnsi="宋体" w:cs="宋体"/>
                <w:kern w:val="1"/>
                <w:szCs w:val="21"/>
              </w:rPr>
              <w:t>1</w:t>
            </w:r>
          </w:p>
        </w:tc>
        <w:tc>
          <w:tcPr>
            <w:tcW w:w="1545"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rPr>
              <w:t>报价</w:t>
            </w:r>
          </w:p>
        </w:tc>
        <w:tc>
          <w:tcPr>
            <w:tcW w:w="993"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lang w:val="en-US" w:eastAsia="zh-CN"/>
              </w:rPr>
              <w:t>50</w:t>
            </w:r>
            <w:r>
              <w:rPr>
                <w:rFonts w:hint="eastAsia" w:ascii="宋体" w:hAnsi="宋体" w:cs="宋体"/>
                <w:kern w:val="1"/>
                <w:szCs w:val="21"/>
              </w:rPr>
              <w:t>分</w:t>
            </w:r>
          </w:p>
        </w:tc>
        <w:tc>
          <w:tcPr>
            <w:tcW w:w="6192" w:type="dxa"/>
            <w:noWrap w:val="0"/>
            <w:vAlign w:val="center"/>
          </w:tcPr>
          <w:p>
            <w:pPr>
              <w:spacing w:line="360" w:lineRule="auto"/>
              <w:ind w:firstLine="420" w:firstLineChars="200"/>
              <w:jc w:val="left"/>
              <w:rPr>
                <w:rFonts w:hint="eastAsia" w:ascii="宋体" w:hAnsi="宋体" w:cs="宋体"/>
                <w:kern w:val="1"/>
                <w:szCs w:val="21"/>
              </w:rPr>
            </w:pPr>
            <w:r>
              <w:rPr>
                <w:rFonts w:hint="eastAsia" w:ascii="宋体" w:hAnsi="宋体" w:cs="宋体"/>
                <w:kern w:val="1"/>
                <w:szCs w:val="21"/>
                <w:lang w:val="en-US" w:eastAsia="zh-CN"/>
              </w:rPr>
              <w:t>满足本项目服务要求文件的各投标人最终投标价的算术平均值为基准价，基准分40分；投标报价与基准价相比，每高1%扣1分，最多扣5分；每低1%加1分，最高加10分，不足1%的按四舍五入计算。</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1318" w:hRule="atLeast"/>
        </w:trPr>
        <w:tc>
          <w:tcPr>
            <w:tcW w:w="900" w:type="dxa"/>
            <w:noWrap w:val="0"/>
            <w:tcMar>
              <w:left w:w="108" w:type="dxa"/>
              <w:right w:w="108" w:type="dxa"/>
            </w:tcMar>
            <w:vAlign w:val="center"/>
          </w:tcPr>
          <w:p>
            <w:pPr>
              <w:spacing w:line="360" w:lineRule="auto"/>
              <w:jc w:val="center"/>
              <w:rPr>
                <w:rFonts w:hint="eastAsia" w:ascii="宋体" w:hAnsi="宋体" w:cs="宋体"/>
                <w:kern w:val="1"/>
                <w:szCs w:val="21"/>
              </w:rPr>
            </w:pPr>
            <w:r>
              <w:rPr>
                <w:rFonts w:hint="eastAsia" w:ascii="宋体" w:hAnsi="宋体" w:cs="宋体"/>
                <w:kern w:val="1"/>
                <w:szCs w:val="21"/>
              </w:rPr>
              <w:t>2</w:t>
            </w:r>
          </w:p>
        </w:tc>
        <w:tc>
          <w:tcPr>
            <w:tcW w:w="1545" w:type="dxa"/>
            <w:noWrap w:val="0"/>
            <w:vAlign w:val="center"/>
          </w:tcPr>
          <w:p>
            <w:pPr>
              <w:spacing w:line="360" w:lineRule="auto"/>
              <w:jc w:val="center"/>
              <w:rPr>
                <w:rFonts w:hint="eastAsia" w:ascii="宋体" w:hAnsi="宋体" w:cs="宋体" w:eastAsiaTheme="minorEastAsia"/>
                <w:kern w:val="1"/>
                <w:szCs w:val="21"/>
                <w:lang w:eastAsia="zh-CN"/>
              </w:rPr>
            </w:pPr>
            <w:r>
              <w:rPr>
                <w:rFonts w:hint="eastAsia" w:ascii="宋体" w:hAnsi="宋体" w:cs="宋体"/>
                <w:kern w:val="0"/>
                <w:szCs w:val="21"/>
              </w:rPr>
              <w:t>保险方案</w:t>
            </w:r>
          </w:p>
        </w:tc>
        <w:tc>
          <w:tcPr>
            <w:tcW w:w="993"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lang w:val="en-US" w:eastAsia="zh-CN"/>
              </w:rPr>
              <w:t>20</w:t>
            </w:r>
            <w:r>
              <w:rPr>
                <w:rFonts w:hint="eastAsia" w:ascii="宋体" w:hAnsi="宋体" w:cs="宋体"/>
                <w:kern w:val="1"/>
                <w:szCs w:val="21"/>
              </w:rPr>
              <w:t>分</w:t>
            </w:r>
          </w:p>
        </w:tc>
        <w:tc>
          <w:tcPr>
            <w:tcW w:w="6192" w:type="dxa"/>
            <w:noWrap w:val="0"/>
            <w:vAlign w:val="center"/>
          </w:tcPr>
          <w:p>
            <w:pPr>
              <w:spacing w:line="360" w:lineRule="auto"/>
              <w:ind w:firstLine="420" w:firstLineChars="200"/>
              <w:jc w:val="left"/>
              <w:rPr>
                <w:rFonts w:hint="default" w:ascii="宋体" w:hAnsi="宋体" w:cs="宋体"/>
                <w:kern w:val="1"/>
                <w:szCs w:val="21"/>
                <w:lang w:val="en-US"/>
              </w:rPr>
            </w:pPr>
            <w:r>
              <w:rPr>
                <w:rFonts w:hint="eastAsia" w:ascii="宋体" w:hAnsi="宋体" w:cs="宋体"/>
                <w:kern w:val="1"/>
                <w:szCs w:val="21"/>
                <w:lang w:val="en-US" w:eastAsia="zh-CN"/>
              </w:rPr>
              <w:t>对投标人提供的投保方案进行评比，主要从投保方案的全面性、安全性、赔付金额进行综合评比，第一名得20分，第二名得10分，第三名得5分，可并列得分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1196" w:hRule="atLeast"/>
        </w:trPr>
        <w:tc>
          <w:tcPr>
            <w:tcW w:w="900" w:type="dxa"/>
            <w:noWrap w:val="0"/>
            <w:tcMar>
              <w:left w:w="108" w:type="dxa"/>
              <w:right w:w="108" w:type="dxa"/>
            </w:tcMar>
            <w:vAlign w:val="center"/>
          </w:tcPr>
          <w:p>
            <w:pPr>
              <w:spacing w:line="360" w:lineRule="auto"/>
              <w:jc w:val="center"/>
              <w:rPr>
                <w:rFonts w:hint="eastAsia" w:ascii="宋体" w:hAnsi="宋体" w:cs="宋体" w:eastAsiaTheme="minorEastAsia"/>
                <w:kern w:val="1"/>
                <w:szCs w:val="21"/>
                <w:lang w:val="en-US" w:eastAsia="zh-CN"/>
              </w:rPr>
            </w:pPr>
            <w:r>
              <w:rPr>
                <w:rFonts w:hint="eastAsia" w:ascii="宋体" w:hAnsi="宋体" w:cs="宋体"/>
                <w:kern w:val="1"/>
                <w:szCs w:val="21"/>
                <w:lang w:val="en-US" w:eastAsia="zh-CN"/>
              </w:rPr>
              <w:t>3</w:t>
            </w:r>
          </w:p>
        </w:tc>
        <w:tc>
          <w:tcPr>
            <w:tcW w:w="1545" w:type="dxa"/>
            <w:noWrap w:val="0"/>
            <w:vAlign w:val="center"/>
          </w:tcPr>
          <w:p>
            <w:pPr>
              <w:spacing w:line="360" w:lineRule="auto"/>
              <w:jc w:val="center"/>
              <w:rPr>
                <w:rFonts w:hint="eastAsia" w:ascii="宋体" w:hAnsi="宋体" w:cs="宋体"/>
                <w:kern w:val="1"/>
                <w:szCs w:val="21"/>
                <w:lang w:eastAsia="zh-CN"/>
              </w:rPr>
            </w:pPr>
            <w:r>
              <w:rPr>
                <w:rFonts w:hint="eastAsia" w:ascii="宋体" w:hAnsi="宋体" w:cs="宋体"/>
                <w:kern w:val="0"/>
                <w:szCs w:val="21"/>
              </w:rPr>
              <w:t>承保方案</w:t>
            </w:r>
          </w:p>
        </w:tc>
        <w:tc>
          <w:tcPr>
            <w:tcW w:w="993" w:type="dxa"/>
            <w:noWrap w:val="0"/>
            <w:vAlign w:val="center"/>
          </w:tcPr>
          <w:p>
            <w:pPr>
              <w:spacing w:line="360" w:lineRule="auto"/>
              <w:jc w:val="center"/>
              <w:rPr>
                <w:rFonts w:hint="default" w:ascii="宋体" w:hAnsi="宋体" w:cs="宋体"/>
                <w:kern w:val="1"/>
                <w:szCs w:val="21"/>
                <w:lang w:val="en-US" w:eastAsia="zh-CN"/>
              </w:rPr>
            </w:pPr>
            <w:r>
              <w:rPr>
                <w:rFonts w:hint="eastAsia" w:ascii="宋体" w:hAnsi="宋体" w:cs="宋体"/>
                <w:kern w:val="1"/>
                <w:szCs w:val="21"/>
                <w:lang w:val="en-US" w:eastAsia="zh-CN"/>
              </w:rPr>
              <w:t>12</w:t>
            </w:r>
          </w:p>
        </w:tc>
        <w:tc>
          <w:tcPr>
            <w:tcW w:w="6192" w:type="dxa"/>
            <w:noWrap w:val="0"/>
            <w:vAlign w:val="center"/>
          </w:tcPr>
          <w:p>
            <w:pPr>
              <w:widowControl/>
              <w:jc w:val="left"/>
              <w:rPr>
                <w:rFonts w:ascii="宋体" w:hAnsi="宋体" w:cs="宋体"/>
                <w:kern w:val="0"/>
                <w:szCs w:val="21"/>
              </w:rPr>
            </w:pPr>
            <w:r>
              <w:rPr>
                <w:rFonts w:hint="eastAsia" w:ascii="宋体" w:hAnsi="宋体" w:cs="宋体"/>
                <w:kern w:val="0"/>
                <w:szCs w:val="21"/>
              </w:rPr>
              <w:t>1.供应商承保方案条款细致、周密、合理、符合项目实际且能最大限度保障项目顺利实施的得</w:t>
            </w:r>
            <w:r>
              <w:rPr>
                <w:rFonts w:hint="eastAsia" w:ascii="宋体" w:hAnsi="宋体" w:cs="宋体"/>
                <w:kern w:val="0"/>
                <w:szCs w:val="21"/>
                <w:lang w:val="en-US" w:eastAsia="zh-CN"/>
              </w:rPr>
              <w:t>6</w:t>
            </w:r>
            <w:r>
              <w:rPr>
                <w:rFonts w:hint="eastAsia" w:ascii="宋体" w:hAnsi="宋体" w:cs="宋体"/>
                <w:kern w:val="0"/>
                <w:szCs w:val="21"/>
              </w:rPr>
              <w:t>分，有缺陷或不足的一处扣0.5分，扣完为止。</w:t>
            </w:r>
          </w:p>
          <w:p>
            <w:pPr>
              <w:spacing w:line="360" w:lineRule="auto"/>
              <w:jc w:val="left"/>
              <w:rPr>
                <w:rFonts w:hint="eastAsia" w:ascii="宋体" w:hAnsi="宋体" w:cs="宋体"/>
                <w:kern w:val="1"/>
                <w:szCs w:val="21"/>
                <w:lang w:val="en-US" w:eastAsia="zh-CN"/>
              </w:rPr>
            </w:pPr>
            <w:r>
              <w:rPr>
                <w:rFonts w:hint="eastAsia" w:ascii="宋体" w:hAnsi="宋体" w:cs="宋体"/>
                <w:kern w:val="0"/>
                <w:szCs w:val="21"/>
              </w:rPr>
              <w:t>2.供应商承保业务流程详细、具体，具有可操作性、符合项目实际且能最大限度保障项目顺利实施的得</w:t>
            </w:r>
            <w:r>
              <w:rPr>
                <w:rFonts w:hint="eastAsia" w:ascii="宋体" w:hAnsi="宋体" w:cs="宋体"/>
                <w:kern w:val="0"/>
                <w:szCs w:val="21"/>
                <w:lang w:val="en-US" w:eastAsia="zh-CN"/>
              </w:rPr>
              <w:t>6</w:t>
            </w:r>
            <w:r>
              <w:rPr>
                <w:rFonts w:hint="eastAsia" w:ascii="宋体" w:hAnsi="宋体" w:cs="宋体"/>
                <w:kern w:val="0"/>
                <w:szCs w:val="21"/>
              </w:rPr>
              <w:t>分，有缺陷或不足的一处扣0.5分，扣完为止。</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1053" w:hRule="atLeast"/>
        </w:trPr>
        <w:tc>
          <w:tcPr>
            <w:tcW w:w="900" w:type="dxa"/>
            <w:noWrap w:val="0"/>
            <w:tcMar>
              <w:left w:w="108" w:type="dxa"/>
              <w:right w:w="108" w:type="dxa"/>
            </w:tcMar>
            <w:vAlign w:val="center"/>
          </w:tcPr>
          <w:p>
            <w:pPr>
              <w:spacing w:line="360" w:lineRule="auto"/>
              <w:jc w:val="center"/>
              <w:rPr>
                <w:rFonts w:hint="eastAsia" w:ascii="宋体" w:hAnsi="宋体" w:cs="宋体" w:eastAsiaTheme="minorEastAsia"/>
                <w:kern w:val="1"/>
                <w:szCs w:val="21"/>
                <w:lang w:val="en-US" w:eastAsia="zh-CN"/>
              </w:rPr>
            </w:pPr>
            <w:r>
              <w:rPr>
                <w:rFonts w:hint="eastAsia" w:ascii="宋体" w:hAnsi="宋体" w:cs="宋体"/>
                <w:kern w:val="1"/>
                <w:szCs w:val="21"/>
                <w:lang w:val="en-US" w:eastAsia="zh-CN"/>
              </w:rPr>
              <w:t>4</w:t>
            </w:r>
          </w:p>
        </w:tc>
        <w:tc>
          <w:tcPr>
            <w:tcW w:w="1545" w:type="dxa"/>
            <w:noWrap w:val="0"/>
            <w:vAlign w:val="center"/>
          </w:tcPr>
          <w:p>
            <w:pPr>
              <w:spacing w:line="360" w:lineRule="auto"/>
              <w:jc w:val="center"/>
              <w:rPr>
                <w:rFonts w:hint="eastAsia" w:ascii="宋体" w:hAnsi="宋体" w:cs="宋体"/>
                <w:kern w:val="1"/>
                <w:szCs w:val="21"/>
                <w:lang w:eastAsia="zh-CN"/>
              </w:rPr>
            </w:pPr>
            <w:r>
              <w:rPr>
                <w:rFonts w:hint="eastAsia" w:ascii="宋体" w:hAnsi="宋体" w:cs="宋体"/>
                <w:kern w:val="0"/>
                <w:szCs w:val="21"/>
              </w:rPr>
              <w:t>理赔方案</w:t>
            </w:r>
          </w:p>
        </w:tc>
        <w:tc>
          <w:tcPr>
            <w:tcW w:w="993" w:type="dxa"/>
            <w:noWrap w:val="0"/>
            <w:vAlign w:val="center"/>
          </w:tcPr>
          <w:p>
            <w:pPr>
              <w:spacing w:line="360" w:lineRule="auto"/>
              <w:jc w:val="center"/>
              <w:rPr>
                <w:rFonts w:hint="default" w:ascii="宋体" w:hAnsi="宋体" w:cs="宋体"/>
                <w:kern w:val="1"/>
                <w:szCs w:val="21"/>
                <w:lang w:val="en-US" w:eastAsia="zh-CN"/>
              </w:rPr>
            </w:pPr>
            <w:r>
              <w:rPr>
                <w:rFonts w:hint="eastAsia" w:ascii="宋体" w:hAnsi="宋体" w:cs="宋体"/>
                <w:kern w:val="1"/>
                <w:szCs w:val="21"/>
                <w:lang w:val="en-US" w:eastAsia="zh-CN"/>
              </w:rPr>
              <w:t>12</w:t>
            </w:r>
          </w:p>
        </w:tc>
        <w:tc>
          <w:tcPr>
            <w:tcW w:w="6192" w:type="dxa"/>
            <w:noWrap w:val="0"/>
            <w:vAlign w:val="center"/>
          </w:tcPr>
          <w:p>
            <w:pPr>
              <w:widowControl/>
              <w:jc w:val="left"/>
              <w:rPr>
                <w:rFonts w:ascii="宋体" w:hAnsi="宋体" w:cs="宋体"/>
                <w:kern w:val="0"/>
                <w:szCs w:val="21"/>
              </w:rPr>
            </w:pPr>
            <w:r>
              <w:rPr>
                <w:rFonts w:hint="eastAsia" w:ascii="宋体" w:hAnsi="宋体" w:cs="宋体"/>
                <w:kern w:val="0"/>
                <w:szCs w:val="21"/>
              </w:rPr>
              <w:t>1.供应商理赔方案条款细致、周密、合理、符合项目实际且能最大限度保障项目顺利实施的得</w:t>
            </w:r>
            <w:r>
              <w:rPr>
                <w:rFonts w:hint="eastAsia" w:ascii="宋体" w:hAnsi="宋体" w:cs="宋体"/>
                <w:kern w:val="0"/>
                <w:szCs w:val="21"/>
                <w:lang w:val="en-US" w:eastAsia="zh-CN"/>
              </w:rPr>
              <w:t>6</w:t>
            </w:r>
            <w:r>
              <w:rPr>
                <w:rFonts w:hint="eastAsia" w:ascii="宋体" w:hAnsi="宋体" w:cs="宋体"/>
                <w:kern w:val="0"/>
                <w:szCs w:val="21"/>
              </w:rPr>
              <w:t>分，有缺陷或不足的一处扣0.5分，扣完为止。</w:t>
            </w:r>
          </w:p>
          <w:p>
            <w:pPr>
              <w:spacing w:line="360" w:lineRule="auto"/>
              <w:jc w:val="left"/>
              <w:rPr>
                <w:rFonts w:hint="eastAsia" w:ascii="宋体" w:hAnsi="宋体" w:cs="宋体"/>
                <w:kern w:val="1"/>
                <w:szCs w:val="21"/>
                <w:lang w:val="en-US" w:eastAsia="zh-CN"/>
              </w:rPr>
            </w:pPr>
            <w:r>
              <w:rPr>
                <w:rFonts w:hint="eastAsia" w:ascii="宋体" w:hAnsi="宋体" w:cs="宋体"/>
                <w:kern w:val="0"/>
                <w:szCs w:val="21"/>
              </w:rPr>
              <w:t>2.供应商理赔服务流程详细、具体，服务计划内容涵盖从报案到赔付完结整个过程、具有可操作性、符合项目实际且能最大限度保障项目顺利实施的得</w:t>
            </w:r>
            <w:r>
              <w:rPr>
                <w:rFonts w:hint="eastAsia" w:ascii="宋体" w:hAnsi="宋体" w:cs="宋体"/>
                <w:kern w:val="0"/>
                <w:szCs w:val="21"/>
                <w:lang w:val="en-US" w:eastAsia="zh-CN"/>
              </w:rPr>
              <w:t>6</w:t>
            </w:r>
            <w:r>
              <w:rPr>
                <w:rFonts w:hint="eastAsia" w:ascii="宋体" w:hAnsi="宋体" w:cs="宋体"/>
                <w:kern w:val="0"/>
                <w:szCs w:val="21"/>
              </w:rPr>
              <w:t>分，有缺陷或不足的一处扣0.5分，扣完为止。</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1053" w:hRule="atLeast"/>
        </w:trPr>
        <w:tc>
          <w:tcPr>
            <w:tcW w:w="900" w:type="dxa"/>
            <w:noWrap w:val="0"/>
            <w:tcMar>
              <w:left w:w="108" w:type="dxa"/>
              <w:right w:w="108" w:type="dxa"/>
            </w:tcMar>
            <w:vAlign w:val="center"/>
          </w:tcPr>
          <w:p>
            <w:pPr>
              <w:spacing w:line="360" w:lineRule="auto"/>
              <w:jc w:val="center"/>
              <w:rPr>
                <w:rFonts w:hint="default" w:ascii="宋体" w:hAnsi="宋体" w:cs="宋体"/>
                <w:kern w:val="1"/>
                <w:szCs w:val="21"/>
                <w:lang w:val="en-US" w:eastAsia="zh-CN"/>
              </w:rPr>
            </w:pPr>
            <w:r>
              <w:rPr>
                <w:rFonts w:hint="eastAsia" w:ascii="宋体" w:hAnsi="宋体" w:cs="宋体"/>
                <w:kern w:val="1"/>
                <w:szCs w:val="21"/>
                <w:lang w:val="en-US" w:eastAsia="zh-CN"/>
              </w:rPr>
              <w:t>5</w:t>
            </w:r>
          </w:p>
        </w:tc>
        <w:tc>
          <w:tcPr>
            <w:tcW w:w="1545" w:type="dxa"/>
            <w:noWrap w:val="0"/>
            <w:vAlign w:val="center"/>
          </w:tcPr>
          <w:p>
            <w:pPr>
              <w:spacing w:line="360" w:lineRule="auto"/>
              <w:jc w:val="center"/>
              <w:rPr>
                <w:rFonts w:hint="eastAsia" w:ascii="宋体" w:hAnsi="宋体" w:cs="宋体"/>
                <w:kern w:val="0"/>
                <w:szCs w:val="21"/>
              </w:rPr>
            </w:pPr>
            <w:r>
              <w:rPr>
                <w:rFonts w:hint="eastAsia" w:ascii="宋体" w:hAnsi="宋体" w:cs="宋体"/>
                <w:kern w:val="1"/>
                <w:szCs w:val="21"/>
              </w:rPr>
              <w:t>类似业绩</w:t>
            </w:r>
          </w:p>
        </w:tc>
        <w:tc>
          <w:tcPr>
            <w:tcW w:w="993" w:type="dxa"/>
            <w:noWrap w:val="0"/>
            <w:vAlign w:val="center"/>
          </w:tcPr>
          <w:p>
            <w:pPr>
              <w:spacing w:line="360" w:lineRule="auto"/>
              <w:jc w:val="center"/>
              <w:rPr>
                <w:rFonts w:hint="default" w:ascii="宋体" w:hAnsi="宋体" w:cs="宋体"/>
                <w:kern w:val="1"/>
                <w:szCs w:val="21"/>
                <w:lang w:val="en-US" w:eastAsia="zh-CN"/>
              </w:rPr>
            </w:pPr>
            <w:r>
              <w:rPr>
                <w:rFonts w:hint="eastAsia" w:ascii="宋体" w:hAnsi="宋体" w:cs="宋体"/>
                <w:kern w:val="1"/>
                <w:szCs w:val="21"/>
                <w:lang w:val="en-US" w:eastAsia="zh-CN"/>
              </w:rPr>
              <w:t>6</w:t>
            </w:r>
          </w:p>
        </w:tc>
        <w:tc>
          <w:tcPr>
            <w:tcW w:w="6192" w:type="dxa"/>
            <w:noWrap w:val="0"/>
            <w:vAlign w:val="center"/>
          </w:tcPr>
          <w:p>
            <w:pPr>
              <w:spacing w:line="360" w:lineRule="auto"/>
              <w:ind w:firstLine="420" w:firstLineChars="200"/>
              <w:jc w:val="left"/>
              <w:rPr>
                <w:rFonts w:hint="eastAsia" w:ascii="宋体" w:hAnsi="宋体" w:cs="宋体"/>
                <w:kern w:val="1"/>
                <w:szCs w:val="21"/>
              </w:rPr>
            </w:pPr>
            <w:r>
              <w:rPr>
                <w:rFonts w:hint="eastAsia" w:ascii="宋体" w:hAnsi="宋体" w:cs="宋体"/>
                <w:kern w:val="1"/>
                <w:szCs w:val="21"/>
                <w:lang w:val="en-US" w:eastAsia="zh-CN"/>
              </w:rPr>
              <w:t>投标人</w:t>
            </w:r>
            <w:r>
              <w:rPr>
                <w:rFonts w:hint="eastAsia" w:ascii="宋体" w:hAnsi="宋体" w:cs="宋体"/>
                <w:kern w:val="1"/>
                <w:szCs w:val="21"/>
              </w:rPr>
              <w:t>2</w:t>
            </w:r>
            <w:r>
              <w:rPr>
                <w:rFonts w:hint="eastAsia" w:ascii="宋体" w:hAnsi="宋体" w:cs="宋体"/>
                <w:kern w:val="1"/>
                <w:szCs w:val="21"/>
                <w:lang w:val="en-US" w:eastAsia="zh-CN"/>
              </w:rPr>
              <w:t>021</w:t>
            </w:r>
            <w:r>
              <w:rPr>
                <w:rFonts w:hint="eastAsia" w:ascii="宋体" w:hAnsi="宋体" w:cs="宋体"/>
                <w:kern w:val="1"/>
                <w:szCs w:val="21"/>
              </w:rPr>
              <w:t>年以来，</w:t>
            </w:r>
            <w:r>
              <w:rPr>
                <w:rFonts w:hint="eastAsia" w:ascii="宋体" w:hAnsi="宋体" w:cs="宋体"/>
                <w:kern w:val="1"/>
                <w:szCs w:val="21"/>
                <w:lang w:eastAsia="zh-CN"/>
              </w:rPr>
              <w:t>承接企业性质的投保案例</w:t>
            </w:r>
            <w:r>
              <w:rPr>
                <w:rFonts w:hint="eastAsia" w:ascii="宋体" w:hAnsi="宋体" w:cs="宋体"/>
                <w:kern w:val="1"/>
                <w:szCs w:val="21"/>
                <w:lang w:val="en-US" w:eastAsia="zh-CN"/>
              </w:rPr>
              <w:t>不低于两份（复印件），</w:t>
            </w:r>
            <w:r>
              <w:rPr>
                <w:rFonts w:hint="eastAsia" w:ascii="宋体" w:hAnsi="宋体" w:cs="宋体"/>
                <w:kern w:val="1"/>
                <w:szCs w:val="21"/>
              </w:rPr>
              <w:t>每</w:t>
            </w:r>
            <w:r>
              <w:rPr>
                <w:rFonts w:hint="eastAsia" w:ascii="宋体" w:hAnsi="宋体" w:cs="宋体"/>
                <w:kern w:val="1"/>
                <w:szCs w:val="21"/>
                <w:lang w:eastAsia="zh-CN"/>
              </w:rPr>
              <w:t>多</w:t>
            </w:r>
            <w:r>
              <w:rPr>
                <w:rFonts w:hint="eastAsia" w:ascii="宋体" w:hAnsi="宋体" w:cs="宋体"/>
                <w:kern w:val="1"/>
                <w:szCs w:val="21"/>
              </w:rPr>
              <w:t>提供1个得</w:t>
            </w:r>
            <w:r>
              <w:rPr>
                <w:rFonts w:hint="eastAsia" w:ascii="宋体" w:hAnsi="宋体" w:cs="宋体"/>
                <w:kern w:val="1"/>
                <w:szCs w:val="21"/>
                <w:lang w:val="en-US" w:eastAsia="zh-CN"/>
              </w:rPr>
              <w:t>3</w:t>
            </w:r>
            <w:r>
              <w:rPr>
                <w:rFonts w:hint="eastAsia" w:ascii="宋体" w:hAnsi="宋体" w:cs="宋体"/>
                <w:kern w:val="1"/>
                <w:szCs w:val="21"/>
              </w:rPr>
              <w:t>分，最多得</w:t>
            </w:r>
            <w:r>
              <w:rPr>
                <w:rFonts w:hint="eastAsia" w:ascii="宋体" w:hAnsi="宋体" w:cs="宋体"/>
                <w:kern w:val="1"/>
                <w:szCs w:val="21"/>
                <w:lang w:val="en-US" w:eastAsia="zh-CN"/>
              </w:rPr>
              <w:t>6</w:t>
            </w:r>
            <w:r>
              <w:rPr>
                <w:rFonts w:hint="eastAsia" w:ascii="宋体" w:hAnsi="宋体" w:cs="宋体"/>
                <w:kern w:val="1"/>
                <w:szCs w:val="21"/>
              </w:rPr>
              <w:t>分。</w:t>
            </w:r>
            <w:bookmarkStart w:id="0" w:name="_GoBack"/>
            <w:bookmarkEnd w:id="0"/>
          </w:p>
          <w:p>
            <w:pPr>
              <w:spacing w:line="360" w:lineRule="auto"/>
              <w:jc w:val="left"/>
              <w:rPr>
                <w:rFonts w:hint="eastAsia" w:ascii="宋体" w:hAnsi="宋体" w:cs="宋体"/>
                <w:kern w:val="0"/>
                <w:szCs w:val="21"/>
              </w:rPr>
            </w:pPr>
            <w:r>
              <w:rPr>
                <w:rFonts w:hint="eastAsia" w:ascii="宋体" w:hAnsi="宋体" w:cs="宋体"/>
                <w:kern w:val="1"/>
                <w:szCs w:val="21"/>
              </w:rPr>
              <w:t>注：业绩证明需提供合同复印件并加盖比选</w:t>
            </w:r>
            <w:r>
              <w:rPr>
                <w:rFonts w:hint="eastAsia" w:ascii="宋体" w:hAnsi="宋体" w:cs="宋体"/>
                <w:kern w:val="1"/>
                <w:szCs w:val="21"/>
                <w:lang w:val="en-US" w:eastAsia="zh-CN"/>
              </w:rPr>
              <w:t>投标</w:t>
            </w:r>
            <w:r>
              <w:rPr>
                <w:rFonts w:hint="eastAsia" w:ascii="宋体" w:hAnsi="宋体" w:cs="宋体"/>
                <w:kern w:val="1"/>
                <w:szCs w:val="21"/>
              </w:rPr>
              <w:t>人鲜章，未提供不得分。</w:t>
            </w:r>
          </w:p>
        </w:tc>
      </w:tr>
    </w:tbl>
    <w:p>
      <w:pPr>
        <w:pStyle w:val="5"/>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等线">
    <w:altName w:val="Arial Unicode MS"/>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M2RlYTRmOTVkNTg2NDM0M2I5ZmMyZjUzMmJmMzYifQ=="/>
    <w:docVar w:name="KSO_WPS_MARK_KEY" w:val="501f3ed9-f615-4734-9628-de546cb8cf6a"/>
  </w:docVars>
  <w:rsids>
    <w:rsidRoot w:val="42DD78C9"/>
    <w:rsid w:val="01101675"/>
    <w:rsid w:val="056D0DFF"/>
    <w:rsid w:val="100A5B41"/>
    <w:rsid w:val="18FF089C"/>
    <w:rsid w:val="195C786A"/>
    <w:rsid w:val="195D67D0"/>
    <w:rsid w:val="1F114BF6"/>
    <w:rsid w:val="21543271"/>
    <w:rsid w:val="2CC6515A"/>
    <w:rsid w:val="3FA1450D"/>
    <w:rsid w:val="401B7113"/>
    <w:rsid w:val="42DD78C9"/>
    <w:rsid w:val="63396D50"/>
    <w:rsid w:val="72C53632"/>
    <w:rsid w:val="789C36D4"/>
    <w:rsid w:val="79AA4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Body Text"/>
    <w:basedOn w:val="1"/>
    <w:next w:val="4"/>
    <w:autoRedefine/>
    <w:qFormat/>
    <w:uiPriority w:val="0"/>
    <w:pPr>
      <w:spacing w:after="120"/>
    </w:pPr>
    <w:rPr>
      <w:szCs w:val="20"/>
    </w:rPr>
  </w:style>
  <w:style w:type="paragraph" w:styleId="4">
    <w:name w:val="Subtitle"/>
    <w:basedOn w:val="1"/>
    <w:next w:val="1"/>
    <w:qFormat/>
    <w:uiPriority w:val="0"/>
    <w:pPr>
      <w:spacing w:line="312" w:lineRule="auto"/>
      <w:jc w:val="left"/>
      <w:outlineLvl w:val="1"/>
    </w:pPr>
    <w:rPr>
      <w:rFonts w:ascii="Cambria" w:hAnsi="Cambria"/>
      <w:b/>
      <w:bCs/>
      <w:kern w:val="28"/>
      <w:sz w:val="21"/>
      <w:szCs w:val="32"/>
    </w:rPr>
  </w:style>
  <w:style w:type="paragraph" w:styleId="5">
    <w:name w:val="Plain Text"/>
    <w:basedOn w:val="1"/>
    <w:autoRedefine/>
    <w:qFormat/>
    <w:uiPriority w:val="0"/>
    <w:pPr>
      <w:autoSpaceDE w:val="0"/>
      <w:autoSpaceDN w:val="0"/>
      <w:adjustRightInd w:val="0"/>
    </w:pPr>
    <w:rPr>
      <w:rFonts w:hAnsi="Tms Rm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291</Words>
  <Characters>309</Characters>
  <Lines>0</Lines>
  <Paragraphs>0</Paragraphs>
  <TotalTime>1</TotalTime>
  <ScaleCrop>false</ScaleCrop>
  <LinksUpToDate>false</LinksUpToDate>
  <CharactersWithSpaces>316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2022-06-20T11:58:00Z</dcterms:created>
  <dc:creator>tangee3</dc:creator>
  <cp:lastModifiedBy>燕尾蝶</cp:lastModifiedBy>
  <dcterms:modified xsi:type="dcterms:W3CDTF">2024-03-20T07:29:39Z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2E145C2E9C9345B4A98ABD2AA4941C71</vt:lpwstr>
  </property>
</Properties>
</file>